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804C9" w14:textId="77777777" w:rsidR="00B11655" w:rsidRDefault="00B11655"/>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6B6359" w:rsidRPr="006B6359" w14:paraId="64F6C335" w14:textId="77777777" w:rsidTr="21B467CF">
        <w:tc>
          <w:tcPr>
            <w:tcW w:w="10655" w:type="dxa"/>
            <w:shd w:val="clear" w:color="auto" w:fill="D9D9D9" w:themeFill="background1" w:themeFillShade="D9"/>
            <w:tcMar>
              <w:top w:w="58" w:type="dxa"/>
              <w:left w:w="115" w:type="dxa"/>
              <w:bottom w:w="58" w:type="dxa"/>
              <w:right w:w="115" w:type="dxa"/>
            </w:tcMar>
          </w:tcPr>
          <w:p w14:paraId="121C5BB4" w14:textId="7772AA71" w:rsidR="006B6359" w:rsidRPr="00281F84" w:rsidRDefault="00C706F0" w:rsidP="00C706F0">
            <w:pPr>
              <w:jc w:val="center"/>
              <w:rPr>
                <w:b/>
                <w:sz w:val="24"/>
                <w:szCs w:val="24"/>
              </w:rPr>
            </w:pPr>
            <w:r w:rsidRPr="00281F84">
              <w:rPr>
                <w:b/>
                <w:sz w:val="24"/>
                <w:szCs w:val="24"/>
              </w:rPr>
              <w:t>Position Summary:</w:t>
            </w:r>
          </w:p>
        </w:tc>
      </w:tr>
      <w:tr w:rsidR="006B6359" w:rsidRPr="006B6359" w14:paraId="4DCE461A" w14:textId="77777777" w:rsidTr="21B467CF">
        <w:tc>
          <w:tcPr>
            <w:tcW w:w="10655" w:type="dxa"/>
            <w:tcBorders>
              <w:top w:val="nil"/>
            </w:tcBorders>
            <w:tcMar>
              <w:top w:w="58" w:type="dxa"/>
              <w:left w:w="115" w:type="dxa"/>
              <w:bottom w:w="58" w:type="dxa"/>
              <w:right w:w="115" w:type="dxa"/>
            </w:tcMar>
          </w:tcPr>
          <w:p w14:paraId="17AC7341" w14:textId="20AABE4C" w:rsidR="006B6359" w:rsidRPr="00281F84" w:rsidRDefault="00115A4D" w:rsidP="21B467CF">
            <w:pPr>
              <w:spacing w:before="100" w:beforeAutospacing="1"/>
              <w:textAlignment w:val="baseline"/>
            </w:pPr>
            <w:r w:rsidRPr="00281F84">
              <w:rPr>
                <w:color w:val="212121"/>
                <w:shd w:val="clear" w:color="auto" w:fill="FFFFFF"/>
              </w:rPr>
              <w:t>The Buyer II is a key role within our procurement team, responsible for managing the purchasing cycle for complex commodities and high-volume items. This position requires a thorough understanding of the following responsibilities: identifying and selecting suppliers, negotiating prices and terms, establishing and managing relationships with designated suppliers, managing the purchasing cycle, and addressing supplier quality issues related to supplier products. Additionally, the Buyer II will oversee supplier performance, develop purchase plans, and ensure compliance with legal requirements. The Buyer II will play a critical role in optimizing material flow, negotiating with vendors, and supporting new product initiatives.</w:t>
            </w:r>
          </w:p>
        </w:tc>
      </w:tr>
    </w:tbl>
    <w:p w14:paraId="7D6423D7" w14:textId="77777777" w:rsidR="007C28CE" w:rsidRDefault="007C28CE"/>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6B6359" w:rsidRPr="006B6359" w14:paraId="2EB9E1F8" w14:textId="77777777" w:rsidTr="21B467CF">
        <w:trPr>
          <w:tblHeader/>
        </w:trPr>
        <w:tc>
          <w:tcPr>
            <w:tcW w:w="10655" w:type="dxa"/>
            <w:shd w:val="clear" w:color="auto" w:fill="D9D9D9" w:themeFill="background1" w:themeFillShade="D9"/>
            <w:tcMar>
              <w:top w:w="58" w:type="dxa"/>
              <w:left w:w="115" w:type="dxa"/>
              <w:bottom w:w="58" w:type="dxa"/>
              <w:right w:w="115" w:type="dxa"/>
            </w:tcMar>
          </w:tcPr>
          <w:p w14:paraId="05BFEB7E" w14:textId="24B9FD3E" w:rsidR="006B6359" w:rsidRPr="00281F84" w:rsidRDefault="00C706F0" w:rsidP="00C706F0">
            <w:pPr>
              <w:jc w:val="center"/>
              <w:rPr>
                <w:b/>
                <w:bCs/>
                <w:sz w:val="24"/>
                <w:szCs w:val="24"/>
              </w:rPr>
            </w:pPr>
            <w:r w:rsidRPr="00C706F0">
              <w:rPr>
                <w:b/>
                <w:bCs/>
                <w:sz w:val="24"/>
                <w:szCs w:val="24"/>
              </w:rPr>
              <w:t>What you will do as a Buyer II:</w:t>
            </w:r>
          </w:p>
        </w:tc>
      </w:tr>
      <w:tr w:rsidR="00552481" w:rsidRPr="00552481" w14:paraId="7E38242A" w14:textId="77777777" w:rsidTr="21B467CF">
        <w:trPr>
          <w:trHeight w:val="5023"/>
        </w:trPr>
        <w:tc>
          <w:tcPr>
            <w:tcW w:w="10655" w:type="dxa"/>
            <w:tcBorders>
              <w:top w:val="nil"/>
            </w:tcBorders>
            <w:tcMar>
              <w:top w:w="58" w:type="dxa"/>
              <w:left w:w="115" w:type="dxa"/>
              <w:bottom w:w="58" w:type="dxa"/>
              <w:right w:w="115" w:type="dxa"/>
            </w:tcMar>
          </w:tcPr>
          <w:p w14:paraId="530F02BE" w14:textId="77777777" w:rsidR="00ED02BD" w:rsidRPr="004914A8" w:rsidRDefault="00ED02BD" w:rsidP="00ED02BD">
            <w:pPr>
              <w:pStyle w:val="ListParagraph"/>
              <w:rPr>
                <w:sz w:val="20"/>
                <w:szCs w:val="20"/>
              </w:rPr>
            </w:pPr>
          </w:p>
          <w:p w14:paraId="4E143589" w14:textId="77777777" w:rsidR="004914A8" w:rsidRPr="00281F84" w:rsidRDefault="004914A8" w:rsidP="00F849EE">
            <w:pPr>
              <w:pStyle w:val="ListParagraph"/>
              <w:rPr>
                <w:rFonts w:eastAsia="Calibri"/>
              </w:rPr>
            </w:pPr>
          </w:p>
          <w:p w14:paraId="0FADB08B"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Manage purchase orders and material flow:</w:t>
            </w:r>
            <w:r w:rsidRPr="00281F84">
              <w:t xml:space="preserve"> Oversee the entire purchasing process from requisition to delivery, ensuring timely and accurate order fulfillment and maintaining optimal inventory levels.</w:t>
            </w:r>
          </w:p>
          <w:p w14:paraId="155A6E62"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Collaborate with Accounts Payable and receiving departments on supplier invoice management and inventory control:</w:t>
            </w:r>
            <w:r w:rsidRPr="00281F84">
              <w:t xml:space="preserve"> Work closely with AP to resolve invoice discrepancies and with receiving to ensure accurate inventory records.</w:t>
            </w:r>
          </w:p>
          <w:p w14:paraId="49496DAF"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Develop short and long-term purchase plans:</w:t>
            </w:r>
            <w:r w:rsidRPr="00281F84">
              <w:t xml:space="preserve"> Create strategic purchasing plans that align with the company's production schedules and business goals, ensuring a steady supply of materials.</w:t>
            </w:r>
          </w:p>
          <w:p w14:paraId="2101A260"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Engage in negotiations with vendors</w:t>
            </w:r>
            <w:r w:rsidRPr="00281F84">
              <w:t>: Negotiate favorable terms and conditions with suppliers to secure the best possible pricing, delivery schedules, and service levels.</w:t>
            </w:r>
          </w:p>
          <w:p w14:paraId="56BF0182"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 xml:space="preserve">Analyze supplier financial health and stability: </w:t>
            </w:r>
            <w:r w:rsidRPr="00281F84">
              <w:t>Assess the financial viability of suppliers to mitigate risks and ensure long-term partnerships.</w:t>
            </w:r>
          </w:p>
          <w:p w14:paraId="78A9C0C0"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Support new product initiatives:</w:t>
            </w:r>
            <w:r w:rsidRPr="00281F84">
              <w:t xml:space="preserve"> Collaborate with product development teams to source materials and components for new products, ensuring timely and cost-effective procurement.</w:t>
            </w:r>
          </w:p>
          <w:p w14:paraId="23546E80"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Monitor supplier performance metrics</w:t>
            </w:r>
            <w:r w:rsidRPr="00281F84">
              <w:t>: Track and evaluate supplier performance using key metrics such as on-time delivery, quality, and responsiveness, and implement improvement plans as needed.</w:t>
            </w:r>
          </w:p>
          <w:p w14:paraId="791FFBF0"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Optimize replenishment methods and lead times:</w:t>
            </w:r>
            <w:r w:rsidRPr="00281F84">
              <w:t xml:space="preserve"> Develop and implement strategies to reduce lead times and improve the efficiency of the replenishment process.</w:t>
            </w:r>
          </w:p>
          <w:p w14:paraId="5B11256A"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Ensure legal compliance with supplier documents:</w:t>
            </w:r>
            <w:r w:rsidRPr="00281F84">
              <w:t xml:space="preserve"> Verify that all supplier contracts and documents comply with legal and regulatory requirements.</w:t>
            </w:r>
          </w:p>
          <w:p w14:paraId="3BD53DD5"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Stay informed about market trends:</w:t>
            </w:r>
            <w:r w:rsidRPr="00281F84">
              <w:t xml:space="preserve"> Keep up-to-date with industry trends, market conditions, and emerging technologies to make informed purchasing decisions.</w:t>
            </w:r>
          </w:p>
          <w:p w14:paraId="7EB1E48C" w14:textId="77777777" w:rsidR="002F0F9A" w:rsidRPr="00281F84" w:rsidRDefault="002F0F9A" w:rsidP="002F0F9A">
            <w:pPr>
              <w:pStyle w:val="ListParagraph"/>
              <w:numPr>
                <w:ilvl w:val="0"/>
                <w:numId w:val="12"/>
              </w:numPr>
              <w:pBdr>
                <w:top w:val="nil"/>
                <w:left w:val="nil"/>
                <w:bottom w:val="nil"/>
                <w:right w:val="nil"/>
                <w:between w:val="nil"/>
              </w:pBdr>
              <w:spacing w:before="120"/>
            </w:pPr>
            <w:r w:rsidRPr="00281F84">
              <w:rPr>
                <w:b/>
                <w:bCs/>
              </w:rPr>
              <w:t>Provide input into enterprise-wide sourcing strategy:</w:t>
            </w:r>
            <w:r w:rsidRPr="00281F84">
              <w:t xml:space="preserve"> Contribute to the development of the company's overall sourcing strategy by providing insights and recommendations based on market analysis and supplier performance.</w:t>
            </w:r>
          </w:p>
          <w:p w14:paraId="708D77C1" w14:textId="3379398D" w:rsidR="00DC0E62" w:rsidRPr="00552481" w:rsidRDefault="002F0F9A" w:rsidP="002F0F9A">
            <w:pPr>
              <w:pStyle w:val="ListParagraph"/>
              <w:numPr>
                <w:ilvl w:val="0"/>
                <w:numId w:val="12"/>
              </w:numPr>
              <w:pBdr>
                <w:top w:val="nil"/>
                <w:left w:val="nil"/>
                <w:bottom w:val="nil"/>
                <w:right w:val="nil"/>
                <w:between w:val="nil"/>
              </w:pBdr>
              <w:spacing w:before="120"/>
              <w:rPr>
                <w:sz w:val="20"/>
                <w:szCs w:val="20"/>
              </w:rPr>
            </w:pPr>
            <w:r w:rsidRPr="00281F84">
              <w:rPr>
                <w:b/>
                <w:bCs/>
              </w:rPr>
              <w:t>Other duties as assigned:</w:t>
            </w:r>
            <w:r w:rsidRPr="00281F84">
              <w:t xml:space="preserve"> Perform additional tasks and projects as needed to support the p</w:t>
            </w:r>
            <w:r w:rsidR="003642FA" w:rsidRPr="00281F84">
              <w:t>urchasing</w:t>
            </w:r>
            <w:r w:rsidRPr="00281F84">
              <w:t xml:space="preserve"> team and overall business objectives.</w:t>
            </w:r>
          </w:p>
        </w:tc>
      </w:tr>
    </w:tbl>
    <w:p w14:paraId="71978FEF" w14:textId="77777777" w:rsidR="00CF1E17" w:rsidRPr="00552481" w:rsidRDefault="00CF1E17">
      <w:pPr>
        <w:sectPr w:rsidR="00CF1E17" w:rsidRPr="00552481" w:rsidSect="00F1378D">
          <w:headerReference w:type="default" r:id="rId11"/>
          <w:footerReference w:type="default" r:id="rId12"/>
          <w:pgSz w:w="12240" w:h="15840"/>
          <w:pgMar w:top="720" w:right="720" w:bottom="720" w:left="720" w:header="720" w:footer="360" w:gutter="0"/>
          <w:cols w:space="720"/>
          <w:docGrid w:linePitch="360"/>
        </w:sectPr>
      </w:pPr>
    </w:p>
    <w:p w14:paraId="5E79A5FB" w14:textId="77777777" w:rsidR="00F7188F" w:rsidRPr="00552481" w:rsidRDefault="00F7188F">
      <w:pPr>
        <w:sectPr w:rsidR="00F7188F" w:rsidRPr="00552481" w:rsidSect="00F1378D">
          <w:type w:val="continuous"/>
          <w:pgSz w:w="12240" w:h="15840"/>
          <w:pgMar w:top="720" w:right="720" w:bottom="720" w:left="720" w:header="720" w:footer="360" w:gutter="0"/>
          <w:cols w:space="720"/>
          <w:docGrid w:linePitch="360"/>
        </w:sectPr>
      </w:pPr>
    </w:p>
    <w:tbl>
      <w:tblPr>
        <w:tblStyle w:val="TableGrid"/>
        <w:tblW w:w="1087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5856"/>
        <w:gridCol w:w="5014"/>
      </w:tblGrid>
      <w:tr w:rsidR="005B4B26" w:rsidRPr="006B6359" w14:paraId="111B82F5" w14:textId="77777777" w:rsidTr="00772B41">
        <w:tc>
          <w:tcPr>
            <w:tcW w:w="10870" w:type="dxa"/>
            <w:gridSpan w:val="2"/>
            <w:tcBorders>
              <w:top w:val="single" w:sz="4" w:space="0" w:color="595959" w:themeColor="text1" w:themeTint="A6"/>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7BE16639" w14:textId="3F640516" w:rsidR="005B4B26" w:rsidRPr="00281F84" w:rsidRDefault="00C706F0" w:rsidP="00C706F0">
            <w:pPr>
              <w:keepNext/>
              <w:jc w:val="center"/>
              <w:rPr>
                <w:b/>
                <w:bCs/>
                <w:sz w:val="24"/>
                <w:szCs w:val="24"/>
              </w:rPr>
            </w:pPr>
            <w:r w:rsidRPr="00C706F0">
              <w:rPr>
                <w:b/>
                <w:bCs/>
                <w:sz w:val="24"/>
                <w:szCs w:val="24"/>
              </w:rPr>
              <w:lastRenderedPageBreak/>
              <w:t>The Experience, Skills, and Abilities Needed:</w:t>
            </w:r>
          </w:p>
        </w:tc>
      </w:tr>
      <w:tr w:rsidR="008D71C2" w:rsidRPr="005B4B26" w14:paraId="72D375F7" w14:textId="77777777" w:rsidTr="008D71C2">
        <w:trPr>
          <w:gridAfter w:val="1"/>
          <w:wAfter w:w="5014" w:type="dxa"/>
          <w:trHeight w:val="107"/>
        </w:trPr>
        <w:tc>
          <w:tcPr>
            <w:tcW w:w="5856" w:type="dxa"/>
            <w:tcBorders>
              <w:bottom w:val="nil"/>
            </w:tcBorders>
          </w:tcPr>
          <w:p w14:paraId="551DC9CC" w14:textId="604CF7F7" w:rsidR="008D71C2" w:rsidRPr="005B4B26" w:rsidRDefault="008D71C2" w:rsidP="009D5581">
            <w:pPr>
              <w:keepNext/>
              <w:ind w:left="45"/>
              <w:rPr>
                <w:sz w:val="20"/>
                <w:szCs w:val="20"/>
              </w:rPr>
            </w:pPr>
          </w:p>
        </w:tc>
      </w:tr>
      <w:tr w:rsidR="00A90DAA" w:rsidRPr="006B6359" w14:paraId="30A25045" w14:textId="77777777" w:rsidTr="00772B41">
        <w:trPr>
          <w:trHeight w:val="108"/>
        </w:trPr>
        <w:tc>
          <w:tcPr>
            <w:tcW w:w="10870" w:type="dxa"/>
            <w:gridSpan w:val="2"/>
            <w:tcBorders>
              <w:bottom w:val="single" w:sz="4" w:space="0" w:color="595959" w:themeColor="text1" w:themeTint="A6"/>
            </w:tcBorders>
            <w:tcMar>
              <w:top w:w="0" w:type="dxa"/>
              <w:left w:w="115" w:type="dxa"/>
              <w:bottom w:w="0" w:type="dxa"/>
              <w:right w:w="115" w:type="dxa"/>
            </w:tcMar>
          </w:tcPr>
          <w:p w14:paraId="5F7607C6" w14:textId="77777777" w:rsidR="008D71C2" w:rsidRPr="008D71C2" w:rsidRDefault="008D71C2" w:rsidP="008D71C2">
            <w:r w:rsidRPr="008D71C2">
              <w:rPr>
                <w:b/>
                <w:bCs/>
              </w:rPr>
              <w:t>Required:</w:t>
            </w:r>
          </w:p>
          <w:p w14:paraId="4E151CC2" w14:textId="77777777" w:rsidR="008D71C2" w:rsidRPr="008D71C2" w:rsidRDefault="008D71C2" w:rsidP="008D71C2">
            <w:pPr>
              <w:numPr>
                <w:ilvl w:val="0"/>
                <w:numId w:val="18"/>
              </w:numPr>
            </w:pPr>
            <w:r w:rsidRPr="008D71C2">
              <w:t>Bachelor's Degree in supply chain or related field. </w:t>
            </w:r>
          </w:p>
          <w:p w14:paraId="1AFD128C" w14:textId="7E30E350" w:rsidR="008D71C2" w:rsidRPr="008D71C2" w:rsidRDefault="00281F84" w:rsidP="008D71C2">
            <w:pPr>
              <w:numPr>
                <w:ilvl w:val="0"/>
                <w:numId w:val="18"/>
              </w:numPr>
            </w:pPr>
            <w:r w:rsidRPr="008D71C2">
              <w:t>Plus,</w:t>
            </w:r>
            <w:r w:rsidR="008D71C2" w:rsidRPr="008D71C2">
              <w:t xml:space="preserve"> three (3) years of experience in procurement. </w:t>
            </w:r>
          </w:p>
          <w:p w14:paraId="79BD570D" w14:textId="77777777" w:rsidR="008D71C2" w:rsidRPr="008D71C2" w:rsidRDefault="008D71C2" w:rsidP="008D71C2">
            <w:pPr>
              <w:numPr>
                <w:ilvl w:val="1"/>
                <w:numId w:val="18"/>
              </w:numPr>
            </w:pPr>
            <w:r w:rsidRPr="008D71C2">
              <w:t>OR High School Diploma plus eleven (11) years of experience in procurement. </w:t>
            </w:r>
          </w:p>
          <w:p w14:paraId="6FC197E3" w14:textId="77777777" w:rsidR="008D71C2" w:rsidRPr="008D71C2" w:rsidRDefault="008D71C2" w:rsidP="008D71C2">
            <w:pPr>
              <w:numPr>
                <w:ilvl w:val="0"/>
                <w:numId w:val="18"/>
              </w:numPr>
            </w:pPr>
            <w:r w:rsidRPr="008D71C2">
              <w:t>Experience in MRP system environment.</w:t>
            </w:r>
          </w:p>
          <w:p w14:paraId="70ECDD91" w14:textId="77777777" w:rsidR="008D71C2" w:rsidRPr="008D71C2" w:rsidRDefault="008D71C2" w:rsidP="008D71C2"/>
          <w:p w14:paraId="49FCF87D" w14:textId="77777777" w:rsidR="008D71C2" w:rsidRPr="008D71C2" w:rsidRDefault="008D71C2" w:rsidP="008D71C2">
            <w:r w:rsidRPr="008D71C2">
              <w:rPr>
                <w:b/>
                <w:bCs/>
              </w:rPr>
              <w:t>Preferred:</w:t>
            </w:r>
          </w:p>
          <w:p w14:paraId="08D5B425" w14:textId="77777777" w:rsidR="008D71C2" w:rsidRPr="008D71C2" w:rsidRDefault="008D71C2" w:rsidP="008D71C2">
            <w:pPr>
              <w:numPr>
                <w:ilvl w:val="0"/>
                <w:numId w:val="19"/>
              </w:numPr>
            </w:pPr>
            <w:r w:rsidRPr="008D71C2">
              <w:t>Experience in lean manufacturing. </w:t>
            </w:r>
          </w:p>
          <w:p w14:paraId="096CB607" w14:textId="77777777" w:rsidR="008D71C2" w:rsidRPr="008D71C2" w:rsidRDefault="008D71C2" w:rsidP="008D71C2"/>
          <w:p w14:paraId="2A8FE211" w14:textId="77777777" w:rsidR="008D71C2" w:rsidRPr="008D71C2" w:rsidRDefault="008D71C2" w:rsidP="008D71C2">
            <w:r w:rsidRPr="008D71C2">
              <w:rPr>
                <w:b/>
                <w:bCs/>
              </w:rPr>
              <w:t>Other:</w:t>
            </w:r>
          </w:p>
          <w:p w14:paraId="6CE07081" w14:textId="77777777" w:rsidR="008D71C2" w:rsidRPr="008D71C2" w:rsidRDefault="008D71C2" w:rsidP="008D71C2">
            <w:pPr>
              <w:numPr>
                <w:ilvl w:val="0"/>
                <w:numId w:val="20"/>
              </w:numPr>
            </w:pPr>
            <w:r w:rsidRPr="008D71C2">
              <w:t>Advanced skills in Microsoft Excel. </w:t>
            </w:r>
          </w:p>
          <w:p w14:paraId="0C298A10" w14:textId="77777777" w:rsidR="00A90DAA" w:rsidRPr="00F469C4" w:rsidRDefault="00A90DAA" w:rsidP="00A90DAA">
            <w:pPr>
              <w:rPr>
                <w:sz w:val="20"/>
                <w:szCs w:val="20"/>
              </w:rPr>
            </w:pPr>
          </w:p>
        </w:tc>
      </w:tr>
    </w:tbl>
    <w:p w14:paraId="5DEE3358" w14:textId="77777777" w:rsidR="00A90DAA" w:rsidRDefault="00A90DAA" w:rsidP="00A90DAA">
      <w:pPr>
        <w:rPr>
          <w:sz w:val="20"/>
          <w:szCs w:val="20"/>
        </w:rPr>
      </w:pPr>
    </w:p>
    <w:tbl>
      <w:tblPr>
        <w:tblW w:w="10890" w:type="dxa"/>
        <w:tblInd w:w="108" w:type="dxa"/>
        <w:tblLayout w:type="fixed"/>
        <w:tblCellMar>
          <w:left w:w="0" w:type="dxa"/>
          <w:right w:w="0" w:type="dxa"/>
        </w:tblCellMar>
        <w:tblLook w:val="04A0" w:firstRow="1" w:lastRow="0" w:firstColumn="1" w:lastColumn="0" w:noHBand="0" w:noVBand="1"/>
      </w:tblPr>
      <w:tblGrid>
        <w:gridCol w:w="10890"/>
      </w:tblGrid>
      <w:tr w:rsidR="00A445B5" w:rsidRPr="00A90DAA" w14:paraId="791FECD1" w14:textId="77777777" w:rsidTr="002B2CA1">
        <w:trPr>
          <w:trHeight w:val="395"/>
        </w:trPr>
        <w:tc>
          <w:tcPr>
            <w:tcW w:w="10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348D5D" w14:textId="3263D9BA" w:rsidR="00A445B5" w:rsidRPr="00281F84" w:rsidRDefault="0023155D">
            <w:pPr>
              <w:autoSpaceDE w:val="0"/>
              <w:autoSpaceDN w:val="0"/>
              <w:ind w:left="99"/>
              <w:jc w:val="center"/>
              <w:rPr>
                <w:sz w:val="24"/>
                <w:szCs w:val="24"/>
              </w:rPr>
            </w:pPr>
            <w:r w:rsidRPr="00281F84">
              <w:rPr>
                <w:sz w:val="24"/>
                <w:szCs w:val="24"/>
              </w:rPr>
              <w:br w:type="page"/>
            </w:r>
            <w:r w:rsidR="008D71C2" w:rsidRPr="00281F84">
              <w:rPr>
                <w:b/>
                <w:bCs/>
                <w:sz w:val="24"/>
                <w:szCs w:val="24"/>
              </w:rPr>
              <w:t>What STERIS Offers</w:t>
            </w:r>
          </w:p>
        </w:tc>
      </w:tr>
      <w:tr w:rsidR="00A445B5" w:rsidRPr="00A445B5" w14:paraId="21BA258F" w14:textId="77777777" w:rsidTr="002B2CA1">
        <w:trPr>
          <w:trHeight w:val="1065"/>
        </w:trPr>
        <w:tc>
          <w:tcPr>
            <w:tcW w:w="10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7EBAF4" w14:textId="77777777" w:rsidR="00C30627" w:rsidRPr="00C30627" w:rsidRDefault="00C30627" w:rsidP="00C30627">
            <w:pPr>
              <w:tabs>
                <w:tab w:val="left" w:pos="604"/>
              </w:tabs>
              <w:spacing w:line="276" w:lineRule="auto"/>
              <w:ind w:left="99"/>
            </w:pPr>
            <w:r w:rsidRPr="00C30627">
              <w:t>We value our employees and are committed to providing a comprehensive benefits package that supports your health, well-being, and financial future. </w:t>
            </w:r>
          </w:p>
          <w:p w14:paraId="03D70480" w14:textId="77777777" w:rsidR="00C30627" w:rsidRPr="00C30627" w:rsidRDefault="00C30627" w:rsidP="00C30627">
            <w:pPr>
              <w:tabs>
                <w:tab w:val="left" w:pos="604"/>
              </w:tabs>
              <w:spacing w:line="276" w:lineRule="auto"/>
              <w:ind w:left="99"/>
            </w:pPr>
          </w:p>
          <w:p w14:paraId="6AD45E84" w14:textId="77777777" w:rsidR="00C30627" w:rsidRPr="00C30627" w:rsidRDefault="00C30627" w:rsidP="00C30627">
            <w:pPr>
              <w:tabs>
                <w:tab w:val="left" w:pos="604"/>
              </w:tabs>
              <w:spacing w:line="276" w:lineRule="auto"/>
              <w:ind w:left="99"/>
            </w:pPr>
            <w:r w:rsidRPr="00C30627">
              <w:rPr>
                <w:i/>
                <w:iCs/>
              </w:rPr>
              <w:t>Here is just a brief overview of what we offer:</w:t>
            </w:r>
          </w:p>
          <w:p w14:paraId="703ADABF" w14:textId="77777777" w:rsidR="00C30627" w:rsidRPr="00C30627" w:rsidRDefault="00C30627" w:rsidP="00C30627">
            <w:pPr>
              <w:numPr>
                <w:ilvl w:val="0"/>
                <w:numId w:val="21"/>
              </w:numPr>
              <w:tabs>
                <w:tab w:val="left" w:pos="604"/>
              </w:tabs>
              <w:spacing w:line="276" w:lineRule="auto"/>
            </w:pPr>
            <w:r w:rsidRPr="00C30627">
              <w:t>Market Competitive Pay</w:t>
            </w:r>
          </w:p>
          <w:p w14:paraId="1CE6C7B3" w14:textId="77777777" w:rsidR="00C30627" w:rsidRPr="00C30627" w:rsidRDefault="00C30627" w:rsidP="00C30627">
            <w:pPr>
              <w:numPr>
                <w:ilvl w:val="0"/>
                <w:numId w:val="21"/>
              </w:numPr>
              <w:tabs>
                <w:tab w:val="left" w:pos="604"/>
              </w:tabs>
              <w:spacing w:line="276" w:lineRule="auto"/>
            </w:pPr>
            <w:r w:rsidRPr="00C30627">
              <w:t>Extensive Paid Time Off (PTO) and 9 added Holidays</w:t>
            </w:r>
          </w:p>
          <w:p w14:paraId="5C87F0AC" w14:textId="77777777" w:rsidR="00C30627" w:rsidRPr="00C30627" w:rsidRDefault="00C30627" w:rsidP="00C30627">
            <w:pPr>
              <w:numPr>
                <w:ilvl w:val="0"/>
                <w:numId w:val="21"/>
              </w:numPr>
              <w:tabs>
                <w:tab w:val="left" w:pos="604"/>
              </w:tabs>
              <w:spacing w:line="276" w:lineRule="auto"/>
            </w:pPr>
            <w:r w:rsidRPr="00C30627">
              <w:t>Excellent Healthcare, Dental and vision benefits</w:t>
            </w:r>
          </w:p>
          <w:p w14:paraId="6628DDBC" w14:textId="77777777" w:rsidR="00C30627" w:rsidRPr="00C30627" w:rsidRDefault="00C30627" w:rsidP="00C30627">
            <w:pPr>
              <w:numPr>
                <w:ilvl w:val="0"/>
                <w:numId w:val="21"/>
              </w:numPr>
              <w:tabs>
                <w:tab w:val="left" w:pos="604"/>
              </w:tabs>
              <w:spacing w:line="276" w:lineRule="auto"/>
            </w:pPr>
            <w:r w:rsidRPr="00C30627">
              <w:t>Long/Short Term Disability coverage</w:t>
            </w:r>
          </w:p>
          <w:p w14:paraId="48CF5AAD" w14:textId="77777777" w:rsidR="00C30627" w:rsidRPr="00C30627" w:rsidRDefault="00C30627" w:rsidP="00C30627">
            <w:pPr>
              <w:numPr>
                <w:ilvl w:val="0"/>
                <w:numId w:val="21"/>
              </w:numPr>
              <w:tabs>
                <w:tab w:val="left" w:pos="604"/>
              </w:tabs>
              <w:spacing w:line="276" w:lineRule="auto"/>
            </w:pPr>
            <w:r w:rsidRPr="00C30627">
              <w:t>401(k) with a company match</w:t>
            </w:r>
          </w:p>
          <w:p w14:paraId="55D66F78" w14:textId="77777777" w:rsidR="00C30627" w:rsidRPr="00C30627" w:rsidRDefault="00C30627" w:rsidP="00C30627">
            <w:pPr>
              <w:numPr>
                <w:ilvl w:val="0"/>
                <w:numId w:val="21"/>
              </w:numPr>
              <w:tabs>
                <w:tab w:val="left" w:pos="604"/>
              </w:tabs>
              <w:spacing w:line="276" w:lineRule="auto"/>
            </w:pPr>
            <w:r w:rsidRPr="00C30627">
              <w:t>Maternity &amp; Paternity Leave</w:t>
            </w:r>
          </w:p>
          <w:p w14:paraId="1E7F3985" w14:textId="77777777" w:rsidR="00C30627" w:rsidRPr="00C30627" w:rsidRDefault="00C30627" w:rsidP="00C30627">
            <w:pPr>
              <w:numPr>
                <w:ilvl w:val="0"/>
                <w:numId w:val="21"/>
              </w:numPr>
              <w:tabs>
                <w:tab w:val="left" w:pos="604"/>
              </w:tabs>
              <w:spacing w:line="276" w:lineRule="auto"/>
            </w:pPr>
            <w:r w:rsidRPr="00C30627">
              <w:t>Additional add-on benefits/discounts for programs such as Pet Insurance</w:t>
            </w:r>
          </w:p>
          <w:p w14:paraId="11CE5E83" w14:textId="77777777" w:rsidR="00C30627" w:rsidRPr="00C30627" w:rsidRDefault="00C30627" w:rsidP="00C30627">
            <w:pPr>
              <w:numPr>
                <w:ilvl w:val="0"/>
                <w:numId w:val="21"/>
              </w:numPr>
              <w:tabs>
                <w:tab w:val="left" w:pos="604"/>
              </w:tabs>
              <w:spacing w:line="276" w:lineRule="auto"/>
            </w:pPr>
            <w:r w:rsidRPr="00C30627">
              <w:t>Tuition Reimbursement and continued educations programs</w:t>
            </w:r>
          </w:p>
          <w:p w14:paraId="350C8E19" w14:textId="77777777" w:rsidR="00C30627" w:rsidRPr="00C30627" w:rsidRDefault="00C30627" w:rsidP="00C30627">
            <w:pPr>
              <w:numPr>
                <w:ilvl w:val="0"/>
                <w:numId w:val="21"/>
              </w:numPr>
              <w:tabs>
                <w:tab w:val="left" w:pos="604"/>
              </w:tabs>
              <w:spacing w:line="276" w:lineRule="auto"/>
            </w:pPr>
            <w:r w:rsidRPr="00C30627">
              <w:t>Excellent opportunities for advancement in a stable long-term career</w:t>
            </w:r>
          </w:p>
          <w:p w14:paraId="6DF66CD5" w14:textId="77777777" w:rsidR="00A445B5" w:rsidRPr="00A445B5" w:rsidRDefault="00A445B5" w:rsidP="00C30627">
            <w:pPr>
              <w:tabs>
                <w:tab w:val="left" w:pos="604"/>
              </w:tabs>
              <w:spacing w:line="276" w:lineRule="auto"/>
            </w:pPr>
          </w:p>
        </w:tc>
      </w:tr>
    </w:tbl>
    <w:p w14:paraId="7D3FB44A" w14:textId="77777777" w:rsidR="00DD6CBA" w:rsidRDefault="00DD6CBA"/>
    <w:tbl>
      <w:tblPr>
        <w:tblStyle w:val="TableGrid"/>
        <w:tblW w:w="1078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0780"/>
      </w:tblGrid>
      <w:tr w:rsidR="00E26F5A" w:rsidRPr="006B6359" w14:paraId="116A9B20" w14:textId="77777777" w:rsidTr="0878D6CA">
        <w:tc>
          <w:tcPr>
            <w:tcW w:w="10780" w:type="dxa"/>
            <w:tcBorders>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307EF430" w14:textId="7B23F8C7" w:rsidR="00E26F5A" w:rsidRPr="00281F84" w:rsidRDefault="00C30627" w:rsidP="00C30627">
            <w:pPr>
              <w:jc w:val="center"/>
              <w:rPr>
                <w:b/>
                <w:sz w:val="24"/>
                <w:szCs w:val="24"/>
              </w:rPr>
            </w:pPr>
            <w:r w:rsidRPr="00281F84">
              <w:rPr>
                <w:b/>
                <w:sz w:val="24"/>
                <w:szCs w:val="24"/>
              </w:rPr>
              <w:t>Work Schedule</w:t>
            </w:r>
            <w:r w:rsidR="00C706F0" w:rsidRPr="00281F84">
              <w:rPr>
                <w:b/>
                <w:sz w:val="24"/>
                <w:szCs w:val="24"/>
              </w:rPr>
              <w:t>:</w:t>
            </w:r>
          </w:p>
        </w:tc>
      </w:tr>
      <w:tr w:rsidR="00A901A0" w:rsidRPr="00281F84" w14:paraId="724E95B1" w14:textId="77777777" w:rsidTr="005B6B55">
        <w:trPr>
          <w:trHeight w:val="247"/>
        </w:trPr>
        <w:tc>
          <w:tcPr>
            <w:tcW w:w="10780" w:type="dxa"/>
            <w:tcBorders>
              <w:top w:val="single" w:sz="4" w:space="0" w:color="595959" w:themeColor="text1" w:themeTint="A6"/>
              <w:left w:val="single" w:sz="4" w:space="0" w:color="auto"/>
              <w:bottom w:val="nil"/>
            </w:tcBorders>
            <w:shd w:val="clear" w:color="auto" w:fill="auto"/>
            <w:tcMar>
              <w:top w:w="58" w:type="dxa"/>
              <w:bottom w:w="58" w:type="dxa"/>
            </w:tcMar>
          </w:tcPr>
          <w:p w14:paraId="5DF36ABD" w14:textId="77777777" w:rsidR="00A901A0" w:rsidRPr="00281F84" w:rsidRDefault="005B6B55" w:rsidP="005B6B55">
            <w:pPr>
              <w:pStyle w:val="ListParagraph"/>
              <w:numPr>
                <w:ilvl w:val="0"/>
                <w:numId w:val="22"/>
              </w:numPr>
              <w:rPr>
                <w:iCs/>
              </w:rPr>
            </w:pPr>
            <w:r w:rsidRPr="00281F84">
              <w:rPr>
                <w:iCs/>
              </w:rPr>
              <w:t>This is a hybrid schedule opportunity based in Eden Prairie, MN.</w:t>
            </w:r>
          </w:p>
          <w:p w14:paraId="5F97DA07" w14:textId="79B87BEF" w:rsidR="00010FB9" w:rsidRPr="00281F84" w:rsidRDefault="00010FB9" w:rsidP="005B6B55">
            <w:pPr>
              <w:pStyle w:val="ListParagraph"/>
              <w:numPr>
                <w:ilvl w:val="0"/>
                <w:numId w:val="22"/>
              </w:numPr>
              <w:rPr>
                <w:iCs/>
              </w:rPr>
            </w:pPr>
            <w:r w:rsidRPr="00281F84">
              <w:rPr>
                <w:iCs/>
              </w:rPr>
              <w:t xml:space="preserve">Link to the posting: </w:t>
            </w:r>
            <w:hyperlink r:id="rId13" w:history="1">
              <w:r w:rsidRPr="00281F84">
                <w:rPr>
                  <w:rStyle w:val="Hyperlink"/>
                  <w:iCs/>
                </w:rPr>
                <w:t>https://bit.ly/49srB5o</w:t>
              </w:r>
            </w:hyperlink>
          </w:p>
          <w:p w14:paraId="1E605FF9" w14:textId="03809C58" w:rsidR="00010FB9" w:rsidRPr="00281F84" w:rsidRDefault="00010FB9" w:rsidP="00010FB9">
            <w:pPr>
              <w:pStyle w:val="ListParagraph"/>
              <w:rPr>
                <w:iCs/>
              </w:rPr>
            </w:pPr>
          </w:p>
        </w:tc>
      </w:tr>
    </w:tbl>
    <w:p w14:paraId="2F78FC20" w14:textId="77777777" w:rsidR="00800340" w:rsidRDefault="00800340" w:rsidP="0023155D"/>
    <w:sectPr w:rsidR="00800340" w:rsidSect="00F1378D">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98DD" w14:textId="77777777" w:rsidR="00D92637" w:rsidRDefault="00D92637" w:rsidP="00C67156">
      <w:r>
        <w:separator/>
      </w:r>
    </w:p>
  </w:endnote>
  <w:endnote w:type="continuationSeparator" w:id="0">
    <w:p w14:paraId="40EA20E6" w14:textId="77777777" w:rsidR="00D92637" w:rsidRDefault="00D92637" w:rsidP="00C67156">
      <w:r>
        <w:continuationSeparator/>
      </w:r>
    </w:p>
  </w:endnote>
  <w:endnote w:type="continuationNotice" w:id="1">
    <w:p w14:paraId="31EB0B31" w14:textId="77777777" w:rsidR="00D92637" w:rsidRDefault="00D9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42F2" w14:textId="77777777" w:rsidR="00071ACB" w:rsidRPr="00F469C4" w:rsidRDefault="00071ACB" w:rsidP="00C67156">
    <w:pPr>
      <w:pStyle w:val="Footer"/>
      <w:tabs>
        <w:tab w:val="clear" w:pos="9360"/>
        <w:tab w:val="right" w:pos="10710"/>
      </w:tabs>
      <w:rPr>
        <w:sz w:val="18"/>
        <w:szCs w:val="18"/>
      </w:rPr>
    </w:pPr>
    <w:r w:rsidRPr="00F469C4">
      <w:rPr>
        <w:sz w:val="18"/>
        <w:szCs w:val="18"/>
      </w:rPr>
      <w:t xml:space="preserve">Effective </w:t>
    </w:r>
    <w:r w:rsidR="0036318E">
      <w:rPr>
        <w:sz w:val="18"/>
        <w:szCs w:val="18"/>
      </w:rPr>
      <w:t xml:space="preserve">February </w:t>
    </w:r>
    <w:r>
      <w:rPr>
        <w:sz w:val="18"/>
        <w:szCs w:val="18"/>
      </w:rPr>
      <w:t xml:space="preserve">2013 </w:t>
    </w:r>
    <w:r w:rsidRPr="00F469C4">
      <w:rPr>
        <w:sz w:val="18"/>
        <w:szCs w:val="18"/>
      </w:rPr>
      <w:tab/>
    </w:r>
    <w:r>
      <w:rPr>
        <w:sz w:val="18"/>
        <w:szCs w:val="18"/>
      </w:rPr>
      <w:tab/>
    </w:r>
    <w:r w:rsidRPr="00F469C4">
      <w:rPr>
        <w:sz w:val="18"/>
        <w:szCs w:val="18"/>
      </w:rPr>
      <w:t xml:space="preserve">Page </w:t>
    </w:r>
    <w:r w:rsidR="0073798B" w:rsidRPr="00F469C4">
      <w:rPr>
        <w:sz w:val="18"/>
        <w:szCs w:val="18"/>
      </w:rPr>
      <w:fldChar w:fldCharType="begin"/>
    </w:r>
    <w:r w:rsidRPr="00F469C4">
      <w:rPr>
        <w:sz w:val="18"/>
        <w:szCs w:val="18"/>
      </w:rPr>
      <w:instrText xml:space="preserve"> PAGE   \* MERGEFORMAT </w:instrText>
    </w:r>
    <w:r w:rsidR="0073798B" w:rsidRPr="00F469C4">
      <w:rPr>
        <w:sz w:val="18"/>
        <w:szCs w:val="18"/>
      </w:rPr>
      <w:fldChar w:fldCharType="separate"/>
    </w:r>
    <w:r w:rsidR="00163015">
      <w:rPr>
        <w:noProof/>
        <w:sz w:val="18"/>
        <w:szCs w:val="18"/>
      </w:rPr>
      <w:t>1</w:t>
    </w:r>
    <w:r w:rsidR="0073798B" w:rsidRPr="00F469C4">
      <w:rPr>
        <w:sz w:val="18"/>
        <w:szCs w:val="18"/>
      </w:rPr>
      <w:fldChar w:fldCharType="end"/>
    </w:r>
  </w:p>
  <w:p w14:paraId="1D160A58" w14:textId="77777777" w:rsidR="00071ACB" w:rsidRDefault="0007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2784" w14:textId="77777777" w:rsidR="00D92637" w:rsidRDefault="00D92637" w:rsidP="00C67156">
      <w:r>
        <w:separator/>
      </w:r>
    </w:p>
  </w:footnote>
  <w:footnote w:type="continuationSeparator" w:id="0">
    <w:p w14:paraId="30CC191B" w14:textId="77777777" w:rsidR="00D92637" w:rsidRDefault="00D92637" w:rsidP="00C67156">
      <w:r>
        <w:continuationSeparator/>
      </w:r>
    </w:p>
  </w:footnote>
  <w:footnote w:type="continuationNotice" w:id="1">
    <w:p w14:paraId="13FF11E4" w14:textId="77777777" w:rsidR="00D92637" w:rsidRDefault="00D9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B903" w14:textId="436B2973" w:rsidR="00071ACB" w:rsidRPr="00C67156" w:rsidRDefault="00071ACB">
    <w:pPr>
      <w:pStyle w:val="Header"/>
      <w:rPr>
        <w:b/>
        <w:sz w:val="40"/>
        <w:szCs w:val="40"/>
      </w:rPr>
    </w:pPr>
    <w:r w:rsidRPr="00C67156">
      <w:rPr>
        <w:b/>
        <w:noProof/>
        <w:sz w:val="40"/>
        <w:szCs w:val="40"/>
      </w:rPr>
      <w:drawing>
        <wp:anchor distT="0" distB="0" distL="114300" distR="114300" simplePos="0" relativeHeight="251661312" behindDoc="1" locked="0" layoutInCell="1" allowOverlap="1" wp14:anchorId="75C24EDE" wp14:editId="3A589E26">
          <wp:simplePos x="0" y="0"/>
          <wp:positionH relativeFrom="margin">
            <wp:align>right</wp:align>
          </wp:positionH>
          <wp:positionV relativeFrom="margin">
            <wp:posOffset>-642346</wp:posOffset>
          </wp:positionV>
          <wp:extent cx="1948646" cy="324091"/>
          <wp:effectExtent l="19050" t="0" r="0" b="0"/>
          <wp:wrapNone/>
          <wp:docPr id="1" name="Picture 0" descr="STERISHoriz_no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SHoriz_no_r_RGB.png"/>
                  <pic:cNvPicPr/>
                </pic:nvPicPr>
                <pic:blipFill>
                  <a:blip r:embed="rId1"/>
                  <a:stretch>
                    <a:fillRect/>
                  </a:stretch>
                </pic:blipFill>
                <pic:spPr>
                  <a:xfrm>
                    <a:off x="0" y="0"/>
                    <a:ext cx="1948646" cy="324091"/>
                  </a:xfrm>
                  <a:prstGeom prst="rect">
                    <a:avLst/>
                  </a:prstGeom>
                </pic:spPr>
              </pic:pic>
            </a:graphicData>
          </a:graphic>
        </wp:anchor>
      </w:drawing>
    </w:r>
    <w:r w:rsidR="00C04571">
      <w:rPr>
        <w:b/>
        <w:sz w:val="40"/>
        <w:szCs w:val="40"/>
      </w:rPr>
      <w:t xml:space="preserve">JOB </w:t>
    </w:r>
    <w:proofErr w:type="gramStart"/>
    <w:r w:rsidRPr="00C67156">
      <w:rPr>
        <w:b/>
        <w:sz w:val="40"/>
        <w:szCs w:val="40"/>
      </w:rPr>
      <w:t>DESCRIPTION</w:t>
    </w:r>
    <w:r w:rsidR="007800FE">
      <w:rPr>
        <w:b/>
        <w:sz w:val="40"/>
        <w:szCs w:val="40"/>
      </w:rPr>
      <w:t xml:space="preserve">  -</w:t>
    </w:r>
    <w:proofErr w:type="gramEnd"/>
    <w:r w:rsidR="007800FE">
      <w:rPr>
        <w:b/>
        <w:sz w:val="40"/>
        <w:szCs w:val="40"/>
      </w:rPr>
      <w:t xml:space="preserve">  </w:t>
    </w:r>
    <w:r w:rsidR="00772B41">
      <w:rPr>
        <w:b/>
        <w:sz w:val="40"/>
        <w:szCs w:val="40"/>
      </w:rPr>
      <w:t>Buyer II</w:t>
    </w:r>
  </w:p>
  <w:p w14:paraId="4384696D" w14:textId="77777777" w:rsidR="00071ACB" w:rsidRDefault="00071ACB">
    <w:pPr>
      <w:pStyle w:val="Header"/>
    </w:pPr>
  </w:p>
  <w:p w14:paraId="49CD636C" w14:textId="77777777" w:rsidR="00071ACB" w:rsidRDefault="000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846"/>
    <w:multiLevelType w:val="hybridMultilevel"/>
    <w:tmpl w:val="AF34F3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8309E"/>
    <w:multiLevelType w:val="multilevel"/>
    <w:tmpl w:val="9180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7C48"/>
    <w:multiLevelType w:val="multilevel"/>
    <w:tmpl w:val="585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C69F2"/>
    <w:multiLevelType w:val="hybridMultilevel"/>
    <w:tmpl w:val="4D3AFC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4180C68"/>
    <w:multiLevelType w:val="hybridMultilevel"/>
    <w:tmpl w:val="330E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23D9"/>
    <w:multiLevelType w:val="hybridMultilevel"/>
    <w:tmpl w:val="6B8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5405E"/>
    <w:multiLevelType w:val="multilevel"/>
    <w:tmpl w:val="2FAA1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93448"/>
    <w:multiLevelType w:val="hybridMultilevel"/>
    <w:tmpl w:val="E72A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41FFB"/>
    <w:multiLevelType w:val="hybridMultilevel"/>
    <w:tmpl w:val="0A1636C2"/>
    <w:lvl w:ilvl="0" w:tplc="E85CA19A">
      <w:start w:val="1"/>
      <w:numFmt w:val="decimal"/>
      <w:lvlText w:val="%1."/>
      <w:lvlJc w:val="left"/>
      <w:pPr>
        <w:tabs>
          <w:tab w:val="num" w:pos="720"/>
        </w:tabs>
        <w:ind w:left="720" w:hanging="72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54576"/>
    <w:multiLevelType w:val="hybridMultilevel"/>
    <w:tmpl w:val="FC32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F2F70"/>
    <w:multiLevelType w:val="hybridMultilevel"/>
    <w:tmpl w:val="2D6CC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30D92"/>
    <w:multiLevelType w:val="multilevel"/>
    <w:tmpl w:val="7D9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1091D"/>
    <w:multiLevelType w:val="multilevel"/>
    <w:tmpl w:val="992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73596"/>
    <w:multiLevelType w:val="multilevel"/>
    <w:tmpl w:val="104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74251"/>
    <w:multiLevelType w:val="hybridMultilevel"/>
    <w:tmpl w:val="4D74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F5216"/>
    <w:multiLevelType w:val="hybridMultilevel"/>
    <w:tmpl w:val="C0EC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3FE7"/>
    <w:multiLevelType w:val="multilevel"/>
    <w:tmpl w:val="61EC2A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D549BC"/>
    <w:multiLevelType w:val="hybridMultilevel"/>
    <w:tmpl w:val="770EC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A24B55"/>
    <w:multiLevelType w:val="hybridMultilevel"/>
    <w:tmpl w:val="A694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14AFB"/>
    <w:multiLevelType w:val="hybridMultilevel"/>
    <w:tmpl w:val="9822FB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BAD6448"/>
    <w:multiLevelType w:val="hybridMultilevel"/>
    <w:tmpl w:val="B1A46950"/>
    <w:lvl w:ilvl="0" w:tplc="8EFC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027D8"/>
    <w:multiLevelType w:val="hybridMultilevel"/>
    <w:tmpl w:val="C6F8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52778">
    <w:abstractNumId w:val="5"/>
  </w:num>
  <w:num w:numId="2" w16cid:durableId="1980575823">
    <w:abstractNumId w:val="21"/>
  </w:num>
  <w:num w:numId="3" w16cid:durableId="376247293">
    <w:abstractNumId w:val="18"/>
  </w:num>
  <w:num w:numId="4" w16cid:durableId="1628924174">
    <w:abstractNumId w:val="10"/>
  </w:num>
  <w:num w:numId="5" w16cid:durableId="804397406">
    <w:abstractNumId w:val="9"/>
  </w:num>
  <w:num w:numId="6" w16cid:durableId="1749956556">
    <w:abstractNumId w:val="4"/>
  </w:num>
  <w:num w:numId="7" w16cid:durableId="1164856256">
    <w:abstractNumId w:val="14"/>
  </w:num>
  <w:num w:numId="8" w16cid:durableId="1816213028">
    <w:abstractNumId w:val="20"/>
  </w:num>
  <w:num w:numId="9" w16cid:durableId="104270375">
    <w:abstractNumId w:val="19"/>
  </w:num>
  <w:num w:numId="10" w16cid:durableId="1936281626">
    <w:abstractNumId w:val="1"/>
  </w:num>
  <w:num w:numId="11" w16cid:durableId="1611089619">
    <w:abstractNumId w:val="15"/>
  </w:num>
  <w:num w:numId="12" w16cid:durableId="127548943">
    <w:abstractNumId w:val="0"/>
  </w:num>
  <w:num w:numId="13" w16cid:durableId="1848516004">
    <w:abstractNumId w:val="16"/>
  </w:num>
  <w:num w:numId="14" w16cid:durableId="731318058">
    <w:abstractNumId w:val="12"/>
  </w:num>
  <w:num w:numId="15" w16cid:durableId="663046740">
    <w:abstractNumId w:val="17"/>
  </w:num>
  <w:num w:numId="16" w16cid:durableId="886182934">
    <w:abstractNumId w:val="8"/>
  </w:num>
  <w:num w:numId="17" w16cid:durableId="1062829127">
    <w:abstractNumId w:val="3"/>
  </w:num>
  <w:num w:numId="18" w16cid:durableId="787818643">
    <w:abstractNumId w:val="6"/>
  </w:num>
  <w:num w:numId="19" w16cid:durableId="1173304116">
    <w:abstractNumId w:val="11"/>
  </w:num>
  <w:num w:numId="20" w16cid:durableId="2135520069">
    <w:abstractNumId w:val="2"/>
  </w:num>
  <w:num w:numId="21" w16cid:durableId="2092465636">
    <w:abstractNumId w:val="13"/>
  </w:num>
  <w:num w:numId="22" w16cid:durableId="2051491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56"/>
    <w:rsid w:val="000044B1"/>
    <w:rsid w:val="00005829"/>
    <w:rsid w:val="00010FB9"/>
    <w:rsid w:val="00025405"/>
    <w:rsid w:val="000319CA"/>
    <w:rsid w:val="0003350B"/>
    <w:rsid w:val="00036A5F"/>
    <w:rsid w:val="000376B2"/>
    <w:rsid w:val="000408EC"/>
    <w:rsid w:val="00041269"/>
    <w:rsid w:val="00041351"/>
    <w:rsid w:val="00042A2C"/>
    <w:rsid w:val="00046AD7"/>
    <w:rsid w:val="00064020"/>
    <w:rsid w:val="00071ACB"/>
    <w:rsid w:val="00080BE4"/>
    <w:rsid w:val="00083069"/>
    <w:rsid w:val="00085833"/>
    <w:rsid w:val="000B123C"/>
    <w:rsid w:val="000C1485"/>
    <w:rsid w:val="000C2812"/>
    <w:rsid w:val="000E0554"/>
    <w:rsid w:val="000E4ED5"/>
    <w:rsid w:val="000E5A5A"/>
    <w:rsid w:val="000E5D49"/>
    <w:rsid w:val="000F691D"/>
    <w:rsid w:val="00115A4D"/>
    <w:rsid w:val="00115ACD"/>
    <w:rsid w:val="00116366"/>
    <w:rsid w:val="00121D88"/>
    <w:rsid w:val="00163015"/>
    <w:rsid w:val="001825AD"/>
    <w:rsid w:val="0018308E"/>
    <w:rsid w:val="00184AD2"/>
    <w:rsid w:val="00191778"/>
    <w:rsid w:val="00191FE8"/>
    <w:rsid w:val="001B6782"/>
    <w:rsid w:val="001C268B"/>
    <w:rsid w:val="001D4607"/>
    <w:rsid w:val="001D78CA"/>
    <w:rsid w:val="001E6E5F"/>
    <w:rsid w:val="001F472E"/>
    <w:rsid w:val="001F5012"/>
    <w:rsid w:val="0020088B"/>
    <w:rsid w:val="00206819"/>
    <w:rsid w:val="00213A7E"/>
    <w:rsid w:val="0022288E"/>
    <w:rsid w:val="0023155D"/>
    <w:rsid w:val="0023615A"/>
    <w:rsid w:val="00247487"/>
    <w:rsid w:val="002474DE"/>
    <w:rsid w:val="002627ED"/>
    <w:rsid w:val="002665D2"/>
    <w:rsid w:val="00267FF2"/>
    <w:rsid w:val="00277F97"/>
    <w:rsid w:val="00281502"/>
    <w:rsid w:val="00281DC8"/>
    <w:rsid w:val="00281F84"/>
    <w:rsid w:val="00283945"/>
    <w:rsid w:val="00285FBD"/>
    <w:rsid w:val="002B2800"/>
    <w:rsid w:val="002B2CA1"/>
    <w:rsid w:val="002C3449"/>
    <w:rsid w:val="002C39AD"/>
    <w:rsid w:val="002D35D9"/>
    <w:rsid w:val="002D5E7D"/>
    <w:rsid w:val="002E6BCA"/>
    <w:rsid w:val="002F0F9A"/>
    <w:rsid w:val="002F3204"/>
    <w:rsid w:val="00304606"/>
    <w:rsid w:val="00311B5C"/>
    <w:rsid w:val="00313634"/>
    <w:rsid w:val="00323FFC"/>
    <w:rsid w:val="00325AFA"/>
    <w:rsid w:val="00362813"/>
    <w:rsid w:val="0036318E"/>
    <w:rsid w:val="003642FA"/>
    <w:rsid w:val="003819B6"/>
    <w:rsid w:val="003829FC"/>
    <w:rsid w:val="0039613A"/>
    <w:rsid w:val="003B6A5F"/>
    <w:rsid w:val="003C4A0E"/>
    <w:rsid w:val="003C7B3E"/>
    <w:rsid w:val="00401E55"/>
    <w:rsid w:val="00403F8E"/>
    <w:rsid w:val="00424C30"/>
    <w:rsid w:val="00435A6A"/>
    <w:rsid w:val="00460316"/>
    <w:rsid w:val="00461452"/>
    <w:rsid w:val="004638B4"/>
    <w:rsid w:val="00464A33"/>
    <w:rsid w:val="004722BD"/>
    <w:rsid w:val="00483B00"/>
    <w:rsid w:val="00490B2C"/>
    <w:rsid w:val="004914A8"/>
    <w:rsid w:val="00493023"/>
    <w:rsid w:val="00496EFE"/>
    <w:rsid w:val="004C4CF0"/>
    <w:rsid w:val="004C615F"/>
    <w:rsid w:val="004D0A44"/>
    <w:rsid w:val="004D164D"/>
    <w:rsid w:val="004D6A69"/>
    <w:rsid w:val="004D75F6"/>
    <w:rsid w:val="004E300C"/>
    <w:rsid w:val="004F7669"/>
    <w:rsid w:val="005015A9"/>
    <w:rsid w:val="00511418"/>
    <w:rsid w:val="0051400A"/>
    <w:rsid w:val="00520011"/>
    <w:rsid w:val="00521F09"/>
    <w:rsid w:val="00530B88"/>
    <w:rsid w:val="00541192"/>
    <w:rsid w:val="00552481"/>
    <w:rsid w:val="00570620"/>
    <w:rsid w:val="0058056A"/>
    <w:rsid w:val="00584A55"/>
    <w:rsid w:val="00586D56"/>
    <w:rsid w:val="00587336"/>
    <w:rsid w:val="005B4B26"/>
    <w:rsid w:val="005B6B55"/>
    <w:rsid w:val="005C271E"/>
    <w:rsid w:val="005C641C"/>
    <w:rsid w:val="005D698A"/>
    <w:rsid w:val="005E103E"/>
    <w:rsid w:val="005F3966"/>
    <w:rsid w:val="006003BD"/>
    <w:rsid w:val="006026E4"/>
    <w:rsid w:val="00621A49"/>
    <w:rsid w:val="006332B4"/>
    <w:rsid w:val="00643D49"/>
    <w:rsid w:val="00657D0D"/>
    <w:rsid w:val="00673C16"/>
    <w:rsid w:val="00674B16"/>
    <w:rsid w:val="006832F9"/>
    <w:rsid w:val="00683409"/>
    <w:rsid w:val="00691427"/>
    <w:rsid w:val="00692125"/>
    <w:rsid w:val="006A09E3"/>
    <w:rsid w:val="006A6F85"/>
    <w:rsid w:val="006A765C"/>
    <w:rsid w:val="006A7E97"/>
    <w:rsid w:val="006B1508"/>
    <w:rsid w:val="006B430F"/>
    <w:rsid w:val="006B6359"/>
    <w:rsid w:val="006C13AA"/>
    <w:rsid w:val="006C4AD9"/>
    <w:rsid w:val="006C4EAB"/>
    <w:rsid w:val="006C723C"/>
    <w:rsid w:val="006D5F61"/>
    <w:rsid w:val="006D791A"/>
    <w:rsid w:val="006F0BCF"/>
    <w:rsid w:val="006F7376"/>
    <w:rsid w:val="00704A8F"/>
    <w:rsid w:val="0072532E"/>
    <w:rsid w:val="0073798B"/>
    <w:rsid w:val="0076061D"/>
    <w:rsid w:val="00760A72"/>
    <w:rsid w:val="00772B41"/>
    <w:rsid w:val="007777A4"/>
    <w:rsid w:val="007800FE"/>
    <w:rsid w:val="0078053D"/>
    <w:rsid w:val="00782D27"/>
    <w:rsid w:val="0078303B"/>
    <w:rsid w:val="00783B70"/>
    <w:rsid w:val="00784969"/>
    <w:rsid w:val="00796A35"/>
    <w:rsid w:val="007A18B5"/>
    <w:rsid w:val="007A7C08"/>
    <w:rsid w:val="007B46E6"/>
    <w:rsid w:val="007B6AC4"/>
    <w:rsid w:val="007C28CE"/>
    <w:rsid w:val="007D62F5"/>
    <w:rsid w:val="007E5EE0"/>
    <w:rsid w:val="007E769E"/>
    <w:rsid w:val="00800340"/>
    <w:rsid w:val="00800C5B"/>
    <w:rsid w:val="00801390"/>
    <w:rsid w:val="0080565E"/>
    <w:rsid w:val="008100DB"/>
    <w:rsid w:val="0081666A"/>
    <w:rsid w:val="008212CC"/>
    <w:rsid w:val="00832D9D"/>
    <w:rsid w:val="00836C83"/>
    <w:rsid w:val="00846699"/>
    <w:rsid w:val="00853736"/>
    <w:rsid w:val="00854C83"/>
    <w:rsid w:val="008636AD"/>
    <w:rsid w:val="008A160C"/>
    <w:rsid w:val="008B6BDE"/>
    <w:rsid w:val="008C4D42"/>
    <w:rsid w:val="008C7A97"/>
    <w:rsid w:val="008D6DA2"/>
    <w:rsid w:val="008D71C2"/>
    <w:rsid w:val="009057D7"/>
    <w:rsid w:val="00915F0E"/>
    <w:rsid w:val="009316CC"/>
    <w:rsid w:val="00935D9B"/>
    <w:rsid w:val="00944EA1"/>
    <w:rsid w:val="00960D45"/>
    <w:rsid w:val="009847DC"/>
    <w:rsid w:val="00990ABD"/>
    <w:rsid w:val="00992B79"/>
    <w:rsid w:val="009A6DA0"/>
    <w:rsid w:val="009D5581"/>
    <w:rsid w:val="009E23B7"/>
    <w:rsid w:val="009E2D84"/>
    <w:rsid w:val="009F2EF0"/>
    <w:rsid w:val="00A0427C"/>
    <w:rsid w:val="00A042CF"/>
    <w:rsid w:val="00A15086"/>
    <w:rsid w:val="00A445B5"/>
    <w:rsid w:val="00A45A41"/>
    <w:rsid w:val="00A63480"/>
    <w:rsid w:val="00A7228F"/>
    <w:rsid w:val="00A82D58"/>
    <w:rsid w:val="00A901A0"/>
    <w:rsid w:val="00A90DAA"/>
    <w:rsid w:val="00A93D3B"/>
    <w:rsid w:val="00AA243C"/>
    <w:rsid w:val="00AA3DF7"/>
    <w:rsid w:val="00AB1847"/>
    <w:rsid w:val="00AB7D28"/>
    <w:rsid w:val="00AE3C03"/>
    <w:rsid w:val="00AE4742"/>
    <w:rsid w:val="00AF6039"/>
    <w:rsid w:val="00B11655"/>
    <w:rsid w:val="00B11DEF"/>
    <w:rsid w:val="00B235BD"/>
    <w:rsid w:val="00B30AA2"/>
    <w:rsid w:val="00B32C45"/>
    <w:rsid w:val="00B3750D"/>
    <w:rsid w:val="00B56801"/>
    <w:rsid w:val="00B6063C"/>
    <w:rsid w:val="00B70950"/>
    <w:rsid w:val="00B74EF3"/>
    <w:rsid w:val="00B85F0F"/>
    <w:rsid w:val="00BA3EDD"/>
    <w:rsid w:val="00BA59CD"/>
    <w:rsid w:val="00BB1FF1"/>
    <w:rsid w:val="00BB3C60"/>
    <w:rsid w:val="00BB5154"/>
    <w:rsid w:val="00BB5BAB"/>
    <w:rsid w:val="00BD2F10"/>
    <w:rsid w:val="00BE06FA"/>
    <w:rsid w:val="00BF3148"/>
    <w:rsid w:val="00C019A6"/>
    <w:rsid w:val="00C04571"/>
    <w:rsid w:val="00C22FB2"/>
    <w:rsid w:val="00C3028B"/>
    <w:rsid w:val="00C30627"/>
    <w:rsid w:val="00C5066A"/>
    <w:rsid w:val="00C6164D"/>
    <w:rsid w:val="00C64DED"/>
    <w:rsid w:val="00C67156"/>
    <w:rsid w:val="00C70457"/>
    <w:rsid w:val="00C706F0"/>
    <w:rsid w:val="00C718CC"/>
    <w:rsid w:val="00CC053F"/>
    <w:rsid w:val="00CC505B"/>
    <w:rsid w:val="00CD565A"/>
    <w:rsid w:val="00CD6798"/>
    <w:rsid w:val="00CE48BE"/>
    <w:rsid w:val="00CE7F65"/>
    <w:rsid w:val="00CF0695"/>
    <w:rsid w:val="00CF1E17"/>
    <w:rsid w:val="00CF351A"/>
    <w:rsid w:val="00CF356B"/>
    <w:rsid w:val="00CF3AD7"/>
    <w:rsid w:val="00CF4816"/>
    <w:rsid w:val="00CF7888"/>
    <w:rsid w:val="00D02CD8"/>
    <w:rsid w:val="00D0696D"/>
    <w:rsid w:val="00D078E0"/>
    <w:rsid w:val="00D2057C"/>
    <w:rsid w:val="00D272FE"/>
    <w:rsid w:val="00D2737E"/>
    <w:rsid w:val="00D40A3E"/>
    <w:rsid w:val="00D44BBC"/>
    <w:rsid w:val="00D45697"/>
    <w:rsid w:val="00D54D59"/>
    <w:rsid w:val="00D57253"/>
    <w:rsid w:val="00D5745F"/>
    <w:rsid w:val="00D63298"/>
    <w:rsid w:val="00D92637"/>
    <w:rsid w:val="00D977AB"/>
    <w:rsid w:val="00DA4FDD"/>
    <w:rsid w:val="00DA7414"/>
    <w:rsid w:val="00DB0F1B"/>
    <w:rsid w:val="00DB2DBF"/>
    <w:rsid w:val="00DB6591"/>
    <w:rsid w:val="00DB7D92"/>
    <w:rsid w:val="00DC0E62"/>
    <w:rsid w:val="00DD21DA"/>
    <w:rsid w:val="00DD4FC4"/>
    <w:rsid w:val="00DD6CBA"/>
    <w:rsid w:val="00E23211"/>
    <w:rsid w:val="00E26A0E"/>
    <w:rsid w:val="00E26F5A"/>
    <w:rsid w:val="00E3278F"/>
    <w:rsid w:val="00E3548A"/>
    <w:rsid w:val="00E373E6"/>
    <w:rsid w:val="00E5185E"/>
    <w:rsid w:val="00E6114C"/>
    <w:rsid w:val="00E64FC7"/>
    <w:rsid w:val="00E67973"/>
    <w:rsid w:val="00E72DE1"/>
    <w:rsid w:val="00E80752"/>
    <w:rsid w:val="00E931D3"/>
    <w:rsid w:val="00E96DD3"/>
    <w:rsid w:val="00EA00A6"/>
    <w:rsid w:val="00EA049D"/>
    <w:rsid w:val="00EA28E5"/>
    <w:rsid w:val="00EA603F"/>
    <w:rsid w:val="00EB08E1"/>
    <w:rsid w:val="00EB5A28"/>
    <w:rsid w:val="00EC1E94"/>
    <w:rsid w:val="00ED02BD"/>
    <w:rsid w:val="00ED133E"/>
    <w:rsid w:val="00EE66A1"/>
    <w:rsid w:val="00EF46F3"/>
    <w:rsid w:val="00EF4A35"/>
    <w:rsid w:val="00EF6F9B"/>
    <w:rsid w:val="00F1378D"/>
    <w:rsid w:val="00F17865"/>
    <w:rsid w:val="00F30580"/>
    <w:rsid w:val="00F40BF5"/>
    <w:rsid w:val="00F469C4"/>
    <w:rsid w:val="00F71845"/>
    <w:rsid w:val="00F7188F"/>
    <w:rsid w:val="00F849EE"/>
    <w:rsid w:val="00F869E9"/>
    <w:rsid w:val="00FB01B7"/>
    <w:rsid w:val="00FB452A"/>
    <w:rsid w:val="00FE05B4"/>
    <w:rsid w:val="00FF1AF2"/>
    <w:rsid w:val="00FF328B"/>
    <w:rsid w:val="00FF77EB"/>
    <w:rsid w:val="01785541"/>
    <w:rsid w:val="0791DED4"/>
    <w:rsid w:val="0878D6CA"/>
    <w:rsid w:val="0BE96D60"/>
    <w:rsid w:val="0E9527D8"/>
    <w:rsid w:val="157E0D83"/>
    <w:rsid w:val="184235E4"/>
    <w:rsid w:val="1D12C92A"/>
    <w:rsid w:val="1D6A0A03"/>
    <w:rsid w:val="21B467CF"/>
    <w:rsid w:val="22EB395C"/>
    <w:rsid w:val="257B387B"/>
    <w:rsid w:val="2B09D2AB"/>
    <w:rsid w:val="317CA91F"/>
    <w:rsid w:val="333F4AF1"/>
    <w:rsid w:val="405DCC63"/>
    <w:rsid w:val="46B001BB"/>
    <w:rsid w:val="4771EC31"/>
    <w:rsid w:val="4D363C82"/>
    <w:rsid w:val="4E935030"/>
    <w:rsid w:val="51B8E295"/>
    <w:rsid w:val="531BE411"/>
    <w:rsid w:val="59348C89"/>
    <w:rsid w:val="5C62C6ED"/>
    <w:rsid w:val="606AB611"/>
    <w:rsid w:val="62B3588B"/>
    <w:rsid w:val="64B8971A"/>
    <w:rsid w:val="69FE031E"/>
    <w:rsid w:val="6B0BCA75"/>
    <w:rsid w:val="6B3ABF04"/>
    <w:rsid w:val="6C410F36"/>
    <w:rsid w:val="6EA09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7602"/>
  <w15:docId w15:val="{A10AB553-95FA-4868-B9E7-E9BB1B6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156"/>
    <w:pPr>
      <w:tabs>
        <w:tab w:val="center" w:pos="4680"/>
        <w:tab w:val="right" w:pos="9360"/>
      </w:tabs>
    </w:pPr>
  </w:style>
  <w:style w:type="character" w:customStyle="1" w:styleId="HeaderChar">
    <w:name w:val="Header Char"/>
    <w:basedOn w:val="DefaultParagraphFont"/>
    <w:link w:val="Header"/>
    <w:uiPriority w:val="99"/>
    <w:rsid w:val="00C67156"/>
  </w:style>
  <w:style w:type="paragraph" w:styleId="Footer">
    <w:name w:val="footer"/>
    <w:basedOn w:val="Normal"/>
    <w:link w:val="FooterChar"/>
    <w:uiPriority w:val="99"/>
    <w:unhideWhenUsed/>
    <w:rsid w:val="00C67156"/>
    <w:pPr>
      <w:tabs>
        <w:tab w:val="center" w:pos="4680"/>
        <w:tab w:val="right" w:pos="9360"/>
      </w:tabs>
    </w:pPr>
  </w:style>
  <w:style w:type="character" w:customStyle="1" w:styleId="FooterChar">
    <w:name w:val="Footer Char"/>
    <w:basedOn w:val="DefaultParagraphFont"/>
    <w:link w:val="Footer"/>
    <w:uiPriority w:val="99"/>
    <w:rsid w:val="00C67156"/>
  </w:style>
  <w:style w:type="paragraph" w:styleId="BalloonText">
    <w:name w:val="Balloon Text"/>
    <w:basedOn w:val="Normal"/>
    <w:link w:val="BalloonTextChar"/>
    <w:uiPriority w:val="99"/>
    <w:semiHidden/>
    <w:unhideWhenUsed/>
    <w:rsid w:val="00C67156"/>
    <w:rPr>
      <w:rFonts w:ascii="Tahoma" w:hAnsi="Tahoma" w:cs="Tahoma"/>
      <w:sz w:val="16"/>
      <w:szCs w:val="16"/>
    </w:rPr>
  </w:style>
  <w:style w:type="character" w:customStyle="1" w:styleId="BalloonTextChar">
    <w:name w:val="Balloon Text Char"/>
    <w:basedOn w:val="DefaultParagraphFont"/>
    <w:link w:val="BalloonText"/>
    <w:uiPriority w:val="99"/>
    <w:semiHidden/>
    <w:rsid w:val="00C67156"/>
    <w:rPr>
      <w:rFonts w:ascii="Tahoma" w:hAnsi="Tahoma" w:cs="Tahoma"/>
      <w:sz w:val="16"/>
      <w:szCs w:val="16"/>
    </w:rPr>
  </w:style>
  <w:style w:type="table" w:styleId="TableGrid">
    <w:name w:val="Table Grid"/>
    <w:basedOn w:val="TableNormal"/>
    <w:uiPriority w:val="59"/>
    <w:rsid w:val="00C6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28CE"/>
    <w:pPr>
      <w:ind w:left="720"/>
      <w:contextualSpacing/>
    </w:pPr>
  </w:style>
  <w:style w:type="paragraph" w:styleId="NoSpacing">
    <w:name w:val="No Spacing"/>
    <w:uiPriority w:val="1"/>
    <w:qFormat/>
    <w:rsid w:val="004D0A44"/>
    <w:rPr>
      <w:rFonts w:asciiTheme="minorHAnsi" w:hAnsiTheme="minorHAnsi" w:cstheme="minorBidi"/>
    </w:rPr>
  </w:style>
  <w:style w:type="character" w:customStyle="1" w:styleId="ListParagraphChar">
    <w:name w:val="List Paragraph Char"/>
    <w:link w:val="ListParagraph"/>
    <w:uiPriority w:val="34"/>
    <w:rsid w:val="006F0BCF"/>
  </w:style>
  <w:style w:type="paragraph" w:styleId="Revision">
    <w:name w:val="Revision"/>
    <w:hidden/>
    <w:uiPriority w:val="99"/>
    <w:semiHidden/>
    <w:rsid w:val="00B11DEF"/>
  </w:style>
  <w:style w:type="character" w:styleId="CommentReference">
    <w:name w:val="annotation reference"/>
    <w:basedOn w:val="DefaultParagraphFont"/>
    <w:uiPriority w:val="99"/>
    <w:semiHidden/>
    <w:unhideWhenUsed/>
    <w:rsid w:val="00521F09"/>
    <w:rPr>
      <w:sz w:val="16"/>
      <w:szCs w:val="16"/>
    </w:rPr>
  </w:style>
  <w:style w:type="paragraph" w:styleId="CommentText">
    <w:name w:val="annotation text"/>
    <w:basedOn w:val="Normal"/>
    <w:link w:val="CommentTextChar"/>
    <w:uiPriority w:val="99"/>
    <w:unhideWhenUsed/>
    <w:rsid w:val="00521F09"/>
    <w:rPr>
      <w:sz w:val="20"/>
      <w:szCs w:val="20"/>
    </w:rPr>
  </w:style>
  <w:style w:type="character" w:customStyle="1" w:styleId="CommentTextChar">
    <w:name w:val="Comment Text Char"/>
    <w:basedOn w:val="DefaultParagraphFont"/>
    <w:link w:val="CommentText"/>
    <w:uiPriority w:val="99"/>
    <w:rsid w:val="00521F09"/>
    <w:rPr>
      <w:sz w:val="20"/>
      <w:szCs w:val="20"/>
    </w:rPr>
  </w:style>
  <w:style w:type="paragraph" w:styleId="CommentSubject">
    <w:name w:val="annotation subject"/>
    <w:basedOn w:val="CommentText"/>
    <w:next w:val="CommentText"/>
    <w:link w:val="CommentSubjectChar"/>
    <w:uiPriority w:val="99"/>
    <w:semiHidden/>
    <w:unhideWhenUsed/>
    <w:rsid w:val="00521F09"/>
    <w:rPr>
      <w:b/>
      <w:bCs/>
    </w:rPr>
  </w:style>
  <w:style w:type="character" w:customStyle="1" w:styleId="CommentSubjectChar">
    <w:name w:val="Comment Subject Char"/>
    <w:basedOn w:val="CommentTextChar"/>
    <w:link w:val="CommentSubject"/>
    <w:uiPriority w:val="99"/>
    <w:semiHidden/>
    <w:rsid w:val="00521F09"/>
    <w:rPr>
      <w:b/>
      <w:bCs/>
      <w:sz w:val="20"/>
      <w:szCs w:val="20"/>
    </w:rPr>
  </w:style>
  <w:style w:type="character" w:styleId="Hyperlink">
    <w:name w:val="Hyperlink"/>
    <w:basedOn w:val="DefaultParagraphFont"/>
    <w:uiPriority w:val="99"/>
    <w:unhideWhenUsed/>
    <w:rsid w:val="00010FB9"/>
    <w:rPr>
      <w:color w:val="0000FF" w:themeColor="hyperlink"/>
      <w:u w:val="single"/>
    </w:rPr>
  </w:style>
  <w:style w:type="character" w:styleId="UnresolvedMention">
    <w:name w:val="Unresolved Mention"/>
    <w:basedOn w:val="DefaultParagraphFont"/>
    <w:uiPriority w:val="99"/>
    <w:semiHidden/>
    <w:unhideWhenUsed/>
    <w:rsid w:val="0001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09779">
      <w:bodyDiv w:val="1"/>
      <w:marLeft w:val="0"/>
      <w:marRight w:val="0"/>
      <w:marTop w:val="0"/>
      <w:marBottom w:val="0"/>
      <w:divBdr>
        <w:top w:val="none" w:sz="0" w:space="0" w:color="auto"/>
        <w:left w:val="none" w:sz="0" w:space="0" w:color="auto"/>
        <w:bottom w:val="none" w:sz="0" w:space="0" w:color="auto"/>
        <w:right w:val="none" w:sz="0" w:space="0" w:color="auto"/>
      </w:divBdr>
    </w:div>
    <w:div w:id="315692310">
      <w:bodyDiv w:val="1"/>
      <w:marLeft w:val="0"/>
      <w:marRight w:val="0"/>
      <w:marTop w:val="0"/>
      <w:marBottom w:val="0"/>
      <w:divBdr>
        <w:top w:val="none" w:sz="0" w:space="0" w:color="auto"/>
        <w:left w:val="none" w:sz="0" w:space="0" w:color="auto"/>
        <w:bottom w:val="none" w:sz="0" w:space="0" w:color="auto"/>
        <w:right w:val="none" w:sz="0" w:space="0" w:color="auto"/>
      </w:divBdr>
      <w:divsChild>
        <w:div w:id="1633751405">
          <w:marLeft w:val="0"/>
          <w:marRight w:val="0"/>
          <w:marTop w:val="0"/>
          <w:marBottom w:val="0"/>
          <w:divBdr>
            <w:top w:val="none" w:sz="0" w:space="0" w:color="auto"/>
            <w:left w:val="none" w:sz="0" w:space="0" w:color="auto"/>
            <w:bottom w:val="none" w:sz="0" w:space="0" w:color="auto"/>
            <w:right w:val="none" w:sz="0" w:space="0" w:color="auto"/>
          </w:divBdr>
        </w:div>
      </w:divsChild>
    </w:div>
    <w:div w:id="882863380">
      <w:bodyDiv w:val="1"/>
      <w:marLeft w:val="0"/>
      <w:marRight w:val="0"/>
      <w:marTop w:val="0"/>
      <w:marBottom w:val="0"/>
      <w:divBdr>
        <w:top w:val="none" w:sz="0" w:space="0" w:color="auto"/>
        <w:left w:val="none" w:sz="0" w:space="0" w:color="auto"/>
        <w:bottom w:val="none" w:sz="0" w:space="0" w:color="auto"/>
        <w:right w:val="none" w:sz="0" w:space="0" w:color="auto"/>
      </w:divBdr>
    </w:div>
    <w:div w:id="889806578">
      <w:bodyDiv w:val="1"/>
      <w:marLeft w:val="0"/>
      <w:marRight w:val="0"/>
      <w:marTop w:val="0"/>
      <w:marBottom w:val="0"/>
      <w:divBdr>
        <w:top w:val="none" w:sz="0" w:space="0" w:color="auto"/>
        <w:left w:val="none" w:sz="0" w:space="0" w:color="auto"/>
        <w:bottom w:val="none" w:sz="0" w:space="0" w:color="auto"/>
        <w:right w:val="none" w:sz="0" w:space="0" w:color="auto"/>
      </w:divBdr>
      <w:divsChild>
        <w:div w:id="1698431785">
          <w:marLeft w:val="0"/>
          <w:marRight w:val="0"/>
          <w:marTop w:val="0"/>
          <w:marBottom w:val="0"/>
          <w:divBdr>
            <w:top w:val="none" w:sz="0" w:space="0" w:color="auto"/>
            <w:left w:val="none" w:sz="0" w:space="0" w:color="auto"/>
            <w:bottom w:val="none" w:sz="0" w:space="0" w:color="auto"/>
            <w:right w:val="none" w:sz="0" w:space="0" w:color="auto"/>
          </w:divBdr>
        </w:div>
      </w:divsChild>
    </w:div>
    <w:div w:id="1673756478">
      <w:bodyDiv w:val="1"/>
      <w:marLeft w:val="0"/>
      <w:marRight w:val="0"/>
      <w:marTop w:val="0"/>
      <w:marBottom w:val="0"/>
      <w:divBdr>
        <w:top w:val="none" w:sz="0" w:space="0" w:color="auto"/>
        <w:left w:val="none" w:sz="0" w:space="0" w:color="auto"/>
        <w:bottom w:val="none" w:sz="0" w:space="0" w:color="auto"/>
        <w:right w:val="none" w:sz="0" w:space="0" w:color="auto"/>
      </w:divBdr>
    </w:div>
    <w:div w:id="1766731218">
      <w:bodyDiv w:val="1"/>
      <w:marLeft w:val="0"/>
      <w:marRight w:val="0"/>
      <w:marTop w:val="0"/>
      <w:marBottom w:val="0"/>
      <w:divBdr>
        <w:top w:val="none" w:sz="0" w:space="0" w:color="auto"/>
        <w:left w:val="none" w:sz="0" w:space="0" w:color="auto"/>
        <w:bottom w:val="none" w:sz="0" w:space="0" w:color="auto"/>
        <w:right w:val="none" w:sz="0" w:space="0" w:color="auto"/>
      </w:divBdr>
      <w:divsChild>
        <w:div w:id="1349024629">
          <w:marLeft w:val="0"/>
          <w:marRight w:val="0"/>
          <w:marTop w:val="0"/>
          <w:marBottom w:val="0"/>
          <w:divBdr>
            <w:top w:val="none" w:sz="0" w:space="0" w:color="auto"/>
            <w:left w:val="none" w:sz="0" w:space="0" w:color="auto"/>
            <w:bottom w:val="none" w:sz="0" w:space="0" w:color="auto"/>
            <w:right w:val="none" w:sz="0" w:space="0" w:color="auto"/>
          </w:divBdr>
        </w:div>
      </w:divsChild>
    </w:div>
    <w:div w:id="1770076505">
      <w:bodyDiv w:val="1"/>
      <w:marLeft w:val="0"/>
      <w:marRight w:val="0"/>
      <w:marTop w:val="0"/>
      <w:marBottom w:val="0"/>
      <w:divBdr>
        <w:top w:val="none" w:sz="0" w:space="0" w:color="auto"/>
        <w:left w:val="none" w:sz="0" w:space="0" w:color="auto"/>
        <w:bottom w:val="none" w:sz="0" w:space="0" w:color="auto"/>
        <w:right w:val="none" w:sz="0" w:space="0" w:color="auto"/>
      </w:divBdr>
    </w:div>
    <w:div w:id="1852525706">
      <w:bodyDiv w:val="1"/>
      <w:marLeft w:val="0"/>
      <w:marRight w:val="0"/>
      <w:marTop w:val="0"/>
      <w:marBottom w:val="0"/>
      <w:divBdr>
        <w:top w:val="none" w:sz="0" w:space="0" w:color="auto"/>
        <w:left w:val="none" w:sz="0" w:space="0" w:color="auto"/>
        <w:bottom w:val="none" w:sz="0" w:space="0" w:color="auto"/>
        <w:right w:val="none" w:sz="0" w:space="0" w:color="auto"/>
      </w:divBdr>
    </w:div>
    <w:div w:id="1900166379">
      <w:bodyDiv w:val="1"/>
      <w:marLeft w:val="0"/>
      <w:marRight w:val="0"/>
      <w:marTop w:val="0"/>
      <w:marBottom w:val="0"/>
      <w:divBdr>
        <w:top w:val="none" w:sz="0" w:space="0" w:color="auto"/>
        <w:left w:val="none" w:sz="0" w:space="0" w:color="auto"/>
        <w:bottom w:val="none" w:sz="0" w:space="0" w:color="auto"/>
        <w:right w:val="none" w:sz="0" w:space="0" w:color="auto"/>
      </w:divBdr>
      <w:divsChild>
        <w:div w:id="1484352833">
          <w:marLeft w:val="0"/>
          <w:marRight w:val="0"/>
          <w:marTop w:val="0"/>
          <w:marBottom w:val="0"/>
          <w:divBdr>
            <w:top w:val="none" w:sz="0" w:space="0" w:color="auto"/>
            <w:left w:val="none" w:sz="0" w:space="0" w:color="auto"/>
            <w:bottom w:val="none" w:sz="0" w:space="0" w:color="auto"/>
            <w:right w:val="none" w:sz="0" w:space="0" w:color="auto"/>
          </w:divBdr>
        </w:div>
      </w:divsChild>
    </w:div>
    <w:div w:id="1942179472">
      <w:bodyDiv w:val="1"/>
      <w:marLeft w:val="0"/>
      <w:marRight w:val="0"/>
      <w:marTop w:val="0"/>
      <w:marBottom w:val="0"/>
      <w:divBdr>
        <w:top w:val="none" w:sz="0" w:space="0" w:color="auto"/>
        <w:left w:val="none" w:sz="0" w:space="0" w:color="auto"/>
        <w:bottom w:val="none" w:sz="0" w:space="0" w:color="auto"/>
        <w:right w:val="none" w:sz="0" w:space="0" w:color="auto"/>
      </w:divBdr>
    </w:div>
    <w:div w:id="2068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9srB5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2EB1A31085D8746BA1F08AEDD3293CA" ma:contentTypeVersion="14" ma:contentTypeDescription="Create a new document." ma:contentTypeScope="" ma:versionID="99363f2dcc0ad140a1b5bf9fae7aa6f9">
  <xsd:schema xmlns:xsd="http://www.w3.org/2001/XMLSchema" xmlns:xs="http://www.w3.org/2001/XMLSchema" xmlns:p="http://schemas.microsoft.com/office/2006/metadata/properties" xmlns:ns2="4c5bba5a-b493-4f1b-adb0-62402a979ebf" xmlns:ns3="03d9183c-942f-4080-ae35-cdc6362950c4" targetNamespace="http://schemas.microsoft.com/office/2006/metadata/properties" ma:root="true" ma:fieldsID="8d0f5e487029f463c1535617e55c57f7" ns2:_="" ns3:_="">
    <xsd:import namespace="4c5bba5a-b493-4f1b-adb0-62402a979ebf"/>
    <xsd:import namespace="03d9183c-942f-4080-ae35-cdc636295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bba5a-b493-4f1b-adb0-62402a979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1b02e5-1b0d-49c0-8ffc-36a1b916637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9183c-942f-4080-ae35-cdc6362950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097b80-c783-497b-a87f-24d3d2f32747}" ma:internalName="TaxCatchAll" ma:showField="CatchAllData" ma:web="03d9183c-942f-4080-ae35-cdc636295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bba5a-b493-4f1b-adb0-62402a979ebf">
      <Terms xmlns="http://schemas.microsoft.com/office/infopath/2007/PartnerControls"/>
    </lcf76f155ced4ddcb4097134ff3c332f>
    <TaxCatchAll xmlns="03d9183c-942f-4080-ae35-cdc6362950c4" xsi:nil="true"/>
  </documentManagement>
</p:properties>
</file>

<file path=customXml/itemProps1.xml><?xml version="1.0" encoding="utf-8"?>
<ds:datastoreItem xmlns:ds="http://schemas.openxmlformats.org/officeDocument/2006/customXml" ds:itemID="{A5A16F9F-FF4D-4777-B592-1C5E440C5C14}">
  <ds:schemaRefs>
    <ds:schemaRef ds:uri="http://schemas.microsoft.com/sharepoint/v3/contenttype/forms"/>
  </ds:schemaRefs>
</ds:datastoreItem>
</file>

<file path=customXml/itemProps2.xml><?xml version="1.0" encoding="utf-8"?>
<ds:datastoreItem xmlns:ds="http://schemas.openxmlformats.org/officeDocument/2006/customXml" ds:itemID="{82D25414-441C-4EC7-9887-B07BE78D32C9}">
  <ds:schemaRefs>
    <ds:schemaRef ds:uri="http://schemas.openxmlformats.org/officeDocument/2006/bibliography"/>
  </ds:schemaRefs>
</ds:datastoreItem>
</file>

<file path=customXml/itemProps3.xml><?xml version="1.0" encoding="utf-8"?>
<ds:datastoreItem xmlns:ds="http://schemas.openxmlformats.org/officeDocument/2006/customXml" ds:itemID="{E3466058-155C-4654-A923-E34DE0E67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bba5a-b493-4f1b-adb0-62402a979ebf"/>
    <ds:schemaRef ds:uri="03d9183c-942f-4080-ae35-cdc63629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D1148-6E01-439E-A843-E1D624DFDEE7}">
  <ds:schemaRefs>
    <ds:schemaRef ds:uri="http://schemas.microsoft.com/office/2006/metadata/properties"/>
    <ds:schemaRef ds:uri="http://schemas.microsoft.com/office/infopath/2007/PartnerControls"/>
    <ds:schemaRef ds:uri="4c5bba5a-b493-4f1b-adb0-62402a979ebf"/>
    <ds:schemaRef ds:uri="03d9183c-942f-4080-ae35-cdc6362950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Company>STERIS Corporation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dmperry</dc:creator>
  <cp:lastModifiedBy>Randy Christoffersen</cp:lastModifiedBy>
  <cp:revision>2</cp:revision>
  <cp:lastPrinted>2015-11-16T13:10:00Z</cp:lastPrinted>
  <dcterms:created xsi:type="dcterms:W3CDTF">2024-12-19T18:48:00Z</dcterms:created>
  <dcterms:modified xsi:type="dcterms:W3CDTF">2024-12-19T18:48:00Z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0x01010062EB1A31085D8746BA1F08AEDD3293CA</vt:lpwstr>
  </property>
  <property fmtid="{D5CDD505-2E9C-101B-9397-08002B2CF9AE}" pid="3" name="Order">
    <vt:r8>200</vt:r8>
  </property>
  <property fmtid="{D5CDD505-2E9C-101B-9397-08002B2CF9AE}" pid="4" name="xd_ProgID">
    <vt:lpwstr/>
  </property>
  <property fmtid="{D5CDD505-2E9C-101B-9397-08002B2CF9AE}" pid="5" name="TemplateUrl">
    <vt:lpwstr/>
  </property>
  <property fmtid="{D5CDD505-2E9C-101B-9397-08002B2CF9AE}" pid="6" name="xd_Signature">
    <vt:bool>false</vt:bool>
  </property>
  <property fmtid="{D5CDD505-2E9C-101B-9397-08002B2CF9AE}" pid="7" name="MediaServiceImageTags">
    <vt:lpwstr/>
  </property>
</Properties>
</file>